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4D61" w:rsidRPr="00B24D61" w:rsidRDefault="00B24D61" w:rsidP="00B24D61">
      <w:pPr>
        <w:jc w:val="center"/>
        <w:rPr>
          <w:rFonts w:ascii="Times New Roman" w:hAnsi="Times New Roman" w:cs="Times New Roman"/>
          <w:sz w:val="24"/>
          <w:szCs w:val="24"/>
        </w:rPr>
      </w:pPr>
      <w:r w:rsidRPr="00B24D61">
        <w:rPr>
          <w:rFonts w:ascii="Times New Roman" w:hAnsi="Times New Roman" w:cs="Times New Roman"/>
          <w:sz w:val="24"/>
          <w:szCs w:val="24"/>
        </w:rPr>
        <w:t>PROCESO CONTROL POLÍTICO</w:t>
      </w:r>
    </w:p>
    <w:p w:rsidR="00B24D61" w:rsidRPr="00B24D61" w:rsidRDefault="00B24D61" w:rsidP="00B24D61">
      <w:pPr>
        <w:jc w:val="center"/>
        <w:rPr>
          <w:rFonts w:ascii="Times New Roman" w:hAnsi="Times New Roman" w:cs="Times New Roman"/>
          <w:sz w:val="24"/>
          <w:szCs w:val="24"/>
        </w:rPr>
      </w:pPr>
      <w:r w:rsidRPr="00B24D61">
        <w:rPr>
          <w:rFonts w:ascii="Times New Roman" w:hAnsi="Times New Roman" w:cs="Times New Roman"/>
          <w:sz w:val="24"/>
          <w:szCs w:val="24"/>
        </w:rPr>
        <w:t>Proposición No. 085 del 21 de enero de 2025</w:t>
      </w:r>
    </w:p>
    <w:p w:rsidR="00B24D61" w:rsidRPr="00B24D61" w:rsidRDefault="00B24D61" w:rsidP="00B24D6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24D61" w:rsidRPr="00B24D61" w:rsidRDefault="00B24D61" w:rsidP="00B24D61">
      <w:pPr>
        <w:rPr>
          <w:rFonts w:ascii="Times New Roman" w:hAnsi="Times New Roman" w:cs="Times New Roman"/>
          <w:i/>
          <w:sz w:val="24"/>
          <w:szCs w:val="24"/>
        </w:rPr>
      </w:pPr>
      <w:r w:rsidRPr="00B24D61">
        <w:rPr>
          <w:rFonts w:ascii="Times New Roman" w:hAnsi="Times New Roman" w:cs="Times New Roman"/>
          <w:i/>
          <w:sz w:val="24"/>
          <w:szCs w:val="24"/>
        </w:rPr>
        <w:t>2</w:t>
      </w:r>
      <w:r w:rsidRPr="00B24D61">
        <w:rPr>
          <w:rFonts w:ascii="Times New Roman" w:hAnsi="Times New Roman" w:cs="Times New Roman"/>
          <w:i/>
          <w:sz w:val="24"/>
          <w:szCs w:val="24"/>
        </w:rPr>
        <w:t xml:space="preserve">. A partir de la tipología de abuso sexual en niños, niñas y adolescentes. Indicar en un archivo </w:t>
      </w:r>
      <w:r w:rsidRPr="00B24D61">
        <w:rPr>
          <w:rFonts w:ascii="Times New Roman" w:hAnsi="Times New Roman" w:cs="Times New Roman"/>
          <w:i/>
          <w:sz w:val="24"/>
          <w:szCs w:val="24"/>
        </w:rPr>
        <w:t>Excel</w:t>
      </w:r>
      <w:r w:rsidRPr="00B24D61">
        <w:rPr>
          <w:rFonts w:ascii="Times New Roman" w:hAnsi="Times New Roman" w:cs="Times New Roman"/>
          <w:i/>
          <w:sz w:val="24"/>
          <w:szCs w:val="24"/>
        </w:rPr>
        <w:t xml:space="preserve"> los siguientes datos desde el año 2013 hasta la fecha: </w:t>
      </w:r>
    </w:p>
    <w:p w:rsidR="00B24D61" w:rsidRPr="00B24D61" w:rsidRDefault="00B24D61" w:rsidP="00B24D61">
      <w:pPr>
        <w:rPr>
          <w:rFonts w:ascii="Times New Roman" w:hAnsi="Times New Roman" w:cs="Times New Roman"/>
          <w:sz w:val="24"/>
          <w:szCs w:val="24"/>
        </w:rPr>
      </w:pPr>
      <w:r w:rsidRPr="00B24D61">
        <w:rPr>
          <w:rFonts w:ascii="Times New Roman" w:hAnsi="Times New Roman" w:cs="Times New Roman"/>
          <w:sz w:val="24"/>
          <w:szCs w:val="24"/>
        </w:rPr>
        <w:t xml:space="preserve">- Casos y tasa por localidades. </w:t>
      </w:r>
    </w:p>
    <w:p w:rsidR="00B24D61" w:rsidRPr="00B24D61" w:rsidRDefault="00B24D61" w:rsidP="00B24D61">
      <w:pPr>
        <w:rPr>
          <w:rFonts w:ascii="Times New Roman" w:hAnsi="Times New Roman" w:cs="Times New Roman"/>
          <w:sz w:val="24"/>
          <w:szCs w:val="24"/>
        </w:rPr>
      </w:pPr>
      <w:r w:rsidRPr="00B24D61">
        <w:rPr>
          <w:rFonts w:ascii="Times New Roman" w:hAnsi="Times New Roman" w:cs="Times New Roman"/>
          <w:sz w:val="24"/>
          <w:szCs w:val="24"/>
        </w:rPr>
        <w:t>- Casos por UPZ.</w:t>
      </w:r>
    </w:p>
    <w:p w:rsidR="00B24D61" w:rsidRPr="00B24D61" w:rsidRDefault="00B24D61" w:rsidP="00B24D61">
      <w:pPr>
        <w:rPr>
          <w:rFonts w:ascii="Times New Roman" w:hAnsi="Times New Roman" w:cs="Times New Roman"/>
          <w:sz w:val="24"/>
          <w:szCs w:val="24"/>
        </w:rPr>
      </w:pPr>
      <w:r w:rsidRPr="00B24D61">
        <w:rPr>
          <w:rFonts w:ascii="Times New Roman" w:hAnsi="Times New Roman" w:cs="Times New Roman"/>
          <w:sz w:val="24"/>
          <w:szCs w:val="24"/>
        </w:rPr>
        <w:t>- Casos según lugar de ocurrencia.</w:t>
      </w:r>
    </w:p>
    <w:p w:rsidR="00B24D61" w:rsidRPr="00B24D61" w:rsidRDefault="00B24D61" w:rsidP="00B24D61">
      <w:pPr>
        <w:rPr>
          <w:rFonts w:ascii="Times New Roman" w:hAnsi="Times New Roman" w:cs="Times New Roman"/>
          <w:sz w:val="24"/>
          <w:szCs w:val="24"/>
        </w:rPr>
      </w:pPr>
      <w:r w:rsidRPr="00B24D61">
        <w:rPr>
          <w:rFonts w:ascii="Times New Roman" w:hAnsi="Times New Roman" w:cs="Times New Roman"/>
          <w:sz w:val="24"/>
          <w:szCs w:val="24"/>
        </w:rPr>
        <w:t xml:space="preserve">- Casos según relación con el agresor. </w:t>
      </w:r>
    </w:p>
    <w:p w:rsidR="00B24D61" w:rsidRPr="00B24D61" w:rsidRDefault="00B24D61" w:rsidP="00B24D61">
      <w:pPr>
        <w:rPr>
          <w:rFonts w:ascii="Times New Roman" w:hAnsi="Times New Roman" w:cs="Times New Roman"/>
          <w:sz w:val="24"/>
          <w:szCs w:val="24"/>
        </w:rPr>
      </w:pPr>
      <w:r w:rsidRPr="00B24D61">
        <w:rPr>
          <w:rFonts w:ascii="Times New Roman" w:hAnsi="Times New Roman" w:cs="Times New Roman"/>
          <w:sz w:val="24"/>
          <w:szCs w:val="24"/>
        </w:rPr>
        <w:t>- Casos de grupo poblacional.</w:t>
      </w:r>
    </w:p>
    <w:p w:rsidR="00B24D61" w:rsidRPr="00B24D61" w:rsidRDefault="00B24D61" w:rsidP="00B24D61">
      <w:pPr>
        <w:rPr>
          <w:rFonts w:ascii="Times New Roman" w:hAnsi="Times New Roman" w:cs="Times New Roman"/>
          <w:sz w:val="24"/>
          <w:szCs w:val="24"/>
        </w:rPr>
      </w:pPr>
      <w:r w:rsidRPr="00B24D61">
        <w:rPr>
          <w:rFonts w:ascii="Times New Roman" w:hAnsi="Times New Roman" w:cs="Times New Roman"/>
          <w:sz w:val="24"/>
          <w:szCs w:val="24"/>
        </w:rPr>
        <w:t>- Casos según estrato socioeconómico.</w:t>
      </w:r>
    </w:p>
    <w:p w:rsidR="00B24D61" w:rsidRPr="00B24D61" w:rsidRDefault="00B24D61" w:rsidP="00B24D61">
      <w:pPr>
        <w:rPr>
          <w:rFonts w:ascii="Times New Roman" w:hAnsi="Times New Roman" w:cs="Times New Roman"/>
          <w:sz w:val="24"/>
          <w:szCs w:val="24"/>
        </w:rPr>
      </w:pPr>
      <w:r w:rsidRPr="00B24D61">
        <w:rPr>
          <w:rFonts w:ascii="Times New Roman" w:hAnsi="Times New Roman" w:cs="Times New Roman"/>
          <w:sz w:val="24"/>
          <w:szCs w:val="24"/>
        </w:rPr>
        <w:t>- Casos por país de procedencia.</w:t>
      </w:r>
    </w:p>
    <w:p w:rsidR="00B24D61" w:rsidRPr="00B24D61" w:rsidRDefault="00B24D61" w:rsidP="00B24D61">
      <w:pPr>
        <w:rPr>
          <w:rFonts w:ascii="Times New Roman" w:hAnsi="Times New Roman" w:cs="Times New Roman"/>
          <w:sz w:val="24"/>
          <w:szCs w:val="24"/>
        </w:rPr>
      </w:pPr>
      <w:r w:rsidRPr="00B24D61">
        <w:rPr>
          <w:rFonts w:ascii="Times New Roman" w:hAnsi="Times New Roman" w:cs="Times New Roman"/>
          <w:sz w:val="24"/>
          <w:szCs w:val="24"/>
        </w:rPr>
        <w:t xml:space="preserve">- Casos por tipo de aseguramiento. </w:t>
      </w:r>
    </w:p>
    <w:p w:rsidR="00B24D61" w:rsidRPr="00B24D61" w:rsidRDefault="00B24D61" w:rsidP="00B24D61">
      <w:pPr>
        <w:rPr>
          <w:rFonts w:ascii="Times New Roman" w:hAnsi="Times New Roman" w:cs="Times New Roman"/>
          <w:sz w:val="24"/>
          <w:szCs w:val="24"/>
        </w:rPr>
      </w:pPr>
      <w:r w:rsidRPr="00B24D61">
        <w:rPr>
          <w:rFonts w:ascii="Times New Roman" w:hAnsi="Times New Roman" w:cs="Times New Roman"/>
          <w:sz w:val="24"/>
          <w:szCs w:val="24"/>
        </w:rPr>
        <w:t xml:space="preserve">- Casos según EAPB. </w:t>
      </w:r>
    </w:p>
    <w:p w:rsidR="00B24D61" w:rsidRPr="00B24D61" w:rsidRDefault="00B24D61" w:rsidP="00B24D61">
      <w:pPr>
        <w:rPr>
          <w:rFonts w:ascii="Times New Roman" w:hAnsi="Times New Roman" w:cs="Times New Roman"/>
          <w:sz w:val="24"/>
          <w:szCs w:val="24"/>
        </w:rPr>
      </w:pPr>
      <w:r w:rsidRPr="00B24D61">
        <w:rPr>
          <w:rFonts w:ascii="Times New Roman" w:hAnsi="Times New Roman" w:cs="Times New Roman"/>
          <w:sz w:val="24"/>
          <w:szCs w:val="24"/>
        </w:rPr>
        <w:t xml:space="preserve">- Casos notificados según sexo y etapa de ciclo vital. </w:t>
      </w:r>
    </w:p>
    <w:p w:rsidR="00B24D61" w:rsidRPr="00B24D61" w:rsidRDefault="00B24D61" w:rsidP="00B24D61">
      <w:pPr>
        <w:rPr>
          <w:rFonts w:ascii="Times New Roman" w:hAnsi="Times New Roman" w:cs="Times New Roman"/>
          <w:sz w:val="24"/>
          <w:szCs w:val="24"/>
        </w:rPr>
      </w:pPr>
      <w:r w:rsidRPr="00B24D61">
        <w:rPr>
          <w:rFonts w:ascii="Times New Roman" w:hAnsi="Times New Roman" w:cs="Times New Roman"/>
          <w:sz w:val="24"/>
          <w:szCs w:val="24"/>
        </w:rPr>
        <w:t>- Casos según nivel educativo.</w:t>
      </w:r>
    </w:p>
    <w:p w:rsidR="00B24D61" w:rsidRPr="00B24D61" w:rsidRDefault="00B24D61" w:rsidP="00B24D61">
      <w:pPr>
        <w:rPr>
          <w:rFonts w:ascii="Times New Roman" w:hAnsi="Times New Roman" w:cs="Times New Roman"/>
          <w:sz w:val="24"/>
          <w:szCs w:val="24"/>
        </w:rPr>
      </w:pPr>
      <w:r w:rsidRPr="00B24D61">
        <w:rPr>
          <w:rFonts w:ascii="Times New Roman" w:hAnsi="Times New Roman" w:cs="Times New Roman"/>
          <w:sz w:val="24"/>
          <w:szCs w:val="24"/>
        </w:rPr>
        <w:t>- Casos de agresores con consumo de SPA.</w:t>
      </w:r>
    </w:p>
    <w:p w:rsidR="00B24D61" w:rsidRPr="00B24D61" w:rsidRDefault="00B24D61" w:rsidP="00B24D61">
      <w:pPr>
        <w:rPr>
          <w:rFonts w:ascii="Times New Roman" w:hAnsi="Times New Roman" w:cs="Times New Roman"/>
          <w:sz w:val="24"/>
          <w:szCs w:val="24"/>
        </w:rPr>
      </w:pPr>
      <w:r w:rsidRPr="00B24D61">
        <w:rPr>
          <w:rFonts w:ascii="Times New Roman" w:hAnsi="Times New Roman" w:cs="Times New Roman"/>
          <w:sz w:val="24"/>
          <w:szCs w:val="24"/>
        </w:rPr>
        <w:t xml:space="preserve">- Casos de víctimas con consumo de SPA. </w:t>
      </w:r>
    </w:p>
    <w:p w:rsidR="00B24D61" w:rsidRPr="00B24D61" w:rsidRDefault="00B24D61" w:rsidP="00B24D61">
      <w:pPr>
        <w:rPr>
          <w:rFonts w:ascii="Times New Roman" w:hAnsi="Times New Roman" w:cs="Times New Roman"/>
          <w:sz w:val="24"/>
          <w:szCs w:val="24"/>
        </w:rPr>
      </w:pPr>
      <w:r w:rsidRPr="00B24D61">
        <w:rPr>
          <w:rFonts w:ascii="Times New Roman" w:hAnsi="Times New Roman" w:cs="Times New Roman"/>
          <w:sz w:val="24"/>
          <w:szCs w:val="24"/>
        </w:rPr>
        <w:t>- Casos según edad.</w:t>
      </w:r>
    </w:p>
    <w:p w:rsidR="00B24D61" w:rsidRDefault="00B24D61" w:rsidP="00B24D61">
      <w:pPr>
        <w:jc w:val="both"/>
        <w:rPr>
          <w:rFonts w:ascii="Times New Roman" w:hAnsi="Times New Roman" w:cs="Times New Roman"/>
          <w:sz w:val="24"/>
          <w:szCs w:val="24"/>
        </w:rPr>
      </w:pPr>
      <w:r w:rsidRPr="00B24D61">
        <w:rPr>
          <w:rFonts w:ascii="Times New Roman" w:hAnsi="Times New Roman" w:cs="Times New Roman"/>
          <w:sz w:val="24"/>
          <w:szCs w:val="24"/>
        </w:rPr>
        <w:t xml:space="preserve">Respuesta: Una vez revisadas las bases del Subsistema de Vigilancia en Salud Pública de la Violencia Intrafamiliar y de Género (SIVIM) del PSPIC de la DGIRS, se encuentra que para los años 2013 a 2016 no se dispone de bases de datos oficiales en esta Subred. Dado lo anterior se eleva solicitud al Dr. Antonio Rodríguez Gómez referente </w:t>
      </w:r>
      <w:bookmarkStart w:id="0" w:name="_GoBack"/>
      <w:r w:rsidRPr="00B24D61">
        <w:rPr>
          <w:rFonts w:ascii="Times New Roman" w:hAnsi="Times New Roman" w:cs="Times New Roman"/>
          <w:sz w:val="24"/>
          <w:szCs w:val="24"/>
        </w:rPr>
        <w:t xml:space="preserve">del Subsistema de Vigilancia en Salud Pública de la Violencia Intrafamiliar y de Género (SIVIM) </w:t>
      </w:r>
      <w:bookmarkEnd w:id="0"/>
      <w:r w:rsidRPr="00B24D61">
        <w:rPr>
          <w:rFonts w:ascii="Times New Roman" w:hAnsi="Times New Roman" w:cs="Times New Roman"/>
          <w:sz w:val="24"/>
          <w:szCs w:val="24"/>
        </w:rPr>
        <w:t>de la secretaria Distrital de Salud, quien informa vía correo electrónico que la respuesta a esta solicitud se encuentra en consolidación por parte de la SDS, quien responderá a la solicitud para las 4 subredes de forma oficial y consolidada.</w:t>
      </w:r>
    </w:p>
    <w:p w:rsidR="00692FD0" w:rsidRDefault="00692FD0" w:rsidP="00B24D6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92FD0" w:rsidRPr="00B24D61" w:rsidRDefault="00692FD0" w:rsidP="00B24D6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24D61" w:rsidRDefault="00B24D61" w:rsidP="00B24D61">
      <w:pPr>
        <w:jc w:val="both"/>
      </w:pPr>
    </w:p>
    <w:p w:rsidR="00B24D61" w:rsidRDefault="00B24D61" w:rsidP="00B24D61">
      <w:pPr>
        <w:jc w:val="both"/>
      </w:pPr>
    </w:p>
    <w:p w:rsidR="00B24D61" w:rsidRDefault="00B24D61"/>
    <w:p w:rsidR="00B24D61" w:rsidRDefault="00B24D61"/>
    <w:sectPr w:rsidR="00B24D6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D61"/>
    <w:rsid w:val="00067C05"/>
    <w:rsid w:val="001C5A1C"/>
    <w:rsid w:val="00425B47"/>
    <w:rsid w:val="005C00A2"/>
    <w:rsid w:val="005D39E9"/>
    <w:rsid w:val="00692FD0"/>
    <w:rsid w:val="00B24D61"/>
    <w:rsid w:val="00C42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86089"/>
  <w15:chartTrackingRefBased/>
  <w15:docId w15:val="{77ABB2AB-6B17-4B35-8C81-2F4BECC5F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212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HSC-DGR-002 Secretaria Gestion Riesgo</dc:creator>
  <cp:keywords/>
  <dc:description/>
  <cp:lastModifiedBy>HSC-DGR-002 Secretaria Gestion Riesgo</cp:lastModifiedBy>
  <cp:revision>2</cp:revision>
  <dcterms:created xsi:type="dcterms:W3CDTF">2025-01-28T16:47:00Z</dcterms:created>
  <dcterms:modified xsi:type="dcterms:W3CDTF">2025-01-28T16:58:00Z</dcterms:modified>
</cp:coreProperties>
</file>